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742E" w14:textId="190585CB" w:rsidR="002A3B38" w:rsidRPr="002A58D9" w:rsidRDefault="00FC59AD" w:rsidP="003B7D02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DĖL SUTIKIMO PERIMTI</w:t>
      </w:r>
      <w:r w:rsidR="00A80C2A" w:rsidRPr="002A58D9">
        <w:rPr>
          <w:b/>
          <w:sz w:val="24"/>
          <w:szCs w:val="24"/>
        </w:rPr>
        <w:t xml:space="preserve"> </w:t>
      </w:r>
      <w:r w:rsidR="002A3B38" w:rsidRPr="002A58D9">
        <w:rPr>
          <w:b/>
          <w:sz w:val="24"/>
          <w:szCs w:val="24"/>
        </w:rPr>
        <w:t>VALSTYBĖS</w:t>
      </w:r>
      <w:r w:rsidR="002A58D9">
        <w:rPr>
          <w:b/>
          <w:sz w:val="24"/>
          <w:szCs w:val="24"/>
        </w:rPr>
        <w:t xml:space="preserve"> ILGALAIKĮ</w:t>
      </w:r>
      <w:r w:rsidR="0062704C" w:rsidRPr="002A58D9">
        <w:rPr>
          <w:b/>
          <w:sz w:val="24"/>
          <w:szCs w:val="24"/>
        </w:rPr>
        <w:t xml:space="preserve"> MATERIALŲJĮ</w:t>
      </w:r>
      <w:r w:rsidR="002A3B38" w:rsidRPr="002A58D9">
        <w:rPr>
          <w:b/>
          <w:sz w:val="24"/>
          <w:szCs w:val="24"/>
        </w:rPr>
        <w:t xml:space="preserve"> TURTĄ</w:t>
      </w:r>
      <w:r>
        <w:rPr>
          <w:b/>
          <w:sz w:val="24"/>
          <w:szCs w:val="24"/>
        </w:rPr>
        <w:t xml:space="preserve"> </w:t>
      </w:r>
      <w:r w:rsidR="00210480">
        <w:rPr>
          <w:b/>
          <w:sz w:val="24"/>
          <w:szCs w:val="24"/>
        </w:rPr>
        <w:t xml:space="preserve">(MOKYKLINIŲ </w:t>
      </w:r>
      <w:r>
        <w:rPr>
          <w:b/>
          <w:sz w:val="24"/>
          <w:szCs w:val="24"/>
        </w:rPr>
        <w:t>BALDŲ KOMPLEKTUS)</w:t>
      </w:r>
      <w:r w:rsidR="0062704C" w:rsidRPr="002A58D9">
        <w:rPr>
          <w:b/>
          <w:sz w:val="24"/>
          <w:szCs w:val="24"/>
        </w:rPr>
        <w:t xml:space="preserve"> </w:t>
      </w:r>
      <w:r w:rsidR="002A58D9">
        <w:rPr>
          <w:b/>
          <w:sz w:val="24"/>
          <w:szCs w:val="24"/>
        </w:rPr>
        <w:t>IR JO PERDAVIMO</w:t>
      </w:r>
    </w:p>
    <w:bookmarkEnd w:id="0"/>
    <w:p w14:paraId="624E742F" w14:textId="77777777" w:rsidR="002A3B38" w:rsidRPr="00E57B03" w:rsidRDefault="002A3B38" w:rsidP="003B7D02">
      <w:pPr>
        <w:jc w:val="center"/>
        <w:rPr>
          <w:b/>
          <w:sz w:val="24"/>
          <w:szCs w:val="24"/>
        </w:rPr>
      </w:pPr>
    </w:p>
    <w:p w14:paraId="624E7430" w14:textId="77777777" w:rsidR="002A3B38" w:rsidRPr="00B650AD" w:rsidRDefault="000759FE" w:rsidP="003B7D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spalio 28</w:t>
      </w:r>
      <w:r w:rsidR="002A3B38" w:rsidRPr="00B650AD">
        <w:rPr>
          <w:rFonts w:ascii="Times New Roman" w:hAnsi="Times New Roman" w:cs="Times New Roman"/>
          <w:sz w:val="24"/>
          <w:szCs w:val="24"/>
        </w:rPr>
        <w:t xml:space="preserve"> d. Nr. TS-</w:t>
      </w:r>
    </w:p>
    <w:p w14:paraId="624E7431" w14:textId="77777777" w:rsidR="002A3B38" w:rsidRDefault="002A3B38" w:rsidP="003B7D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650AD">
        <w:rPr>
          <w:rFonts w:ascii="Times New Roman" w:hAnsi="Times New Roman" w:cs="Times New Roman"/>
          <w:sz w:val="24"/>
          <w:szCs w:val="24"/>
        </w:rPr>
        <w:t>Rokiškis</w:t>
      </w:r>
    </w:p>
    <w:p w14:paraId="624E7432" w14:textId="77777777" w:rsidR="002A3B38" w:rsidRDefault="002A3B38" w:rsidP="002A3B3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09C9A9B6" w14:textId="77777777" w:rsidR="00614F94" w:rsidRPr="00B650AD" w:rsidRDefault="00614F94" w:rsidP="002A3B3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24E7434" w14:textId="0E3B7018" w:rsidR="002A3B38" w:rsidRPr="002A3B38" w:rsidRDefault="002A3B38" w:rsidP="00614F94">
      <w:pPr>
        <w:keepNext/>
        <w:ind w:firstLine="720"/>
        <w:jc w:val="both"/>
        <w:rPr>
          <w:sz w:val="24"/>
          <w:szCs w:val="24"/>
          <w:lang w:val="lt-LT"/>
        </w:rPr>
      </w:pPr>
      <w:r w:rsidRPr="002A3B38">
        <w:rPr>
          <w:sz w:val="24"/>
          <w:szCs w:val="24"/>
          <w:lang w:val="lt-LT"/>
        </w:rPr>
        <w:t>Vadovaudamasi Lietuvos Respubli</w:t>
      </w:r>
      <w:r w:rsidR="00C72E9B">
        <w:rPr>
          <w:sz w:val="24"/>
          <w:szCs w:val="24"/>
          <w:lang w:val="lt-LT"/>
        </w:rPr>
        <w:t>kos vietos sav</w:t>
      </w:r>
      <w:r w:rsidR="00923AE6">
        <w:rPr>
          <w:sz w:val="24"/>
          <w:szCs w:val="24"/>
          <w:lang w:val="lt-LT"/>
        </w:rPr>
        <w:t>ivaldos įstatymo 6 straipsnio 5 ir 6 punktais</w:t>
      </w:r>
      <w:r w:rsidRPr="002A3B38">
        <w:rPr>
          <w:sz w:val="24"/>
          <w:szCs w:val="24"/>
          <w:lang w:val="lt-LT"/>
        </w:rPr>
        <w:t>, Lietuvos Respublikos valstybės ir savivaldybių turto valdymo, naudojimo ir disponavimo juo įstatymo</w:t>
      </w:r>
      <w:r w:rsidR="00923AE6">
        <w:rPr>
          <w:sz w:val="24"/>
          <w:szCs w:val="24"/>
          <w:lang w:val="lt-LT"/>
        </w:rPr>
        <w:t xml:space="preserve"> 6 straipsnio 2 punktu, 20</w:t>
      </w:r>
      <w:r w:rsidR="00563045">
        <w:rPr>
          <w:sz w:val="24"/>
          <w:szCs w:val="24"/>
          <w:lang w:val="lt-LT"/>
        </w:rPr>
        <w:t xml:space="preserve"> straipsnio</w:t>
      </w:r>
      <w:r w:rsidR="00923AE6">
        <w:rPr>
          <w:sz w:val="24"/>
          <w:szCs w:val="24"/>
          <w:lang w:val="lt-LT"/>
        </w:rPr>
        <w:t xml:space="preserve"> 1 dalies 4</w:t>
      </w:r>
      <w:r w:rsidRPr="002A3B38">
        <w:rPr>
          <w:sz w:val="24"/>
          <w:szCs w:val="24"/>
          <w:lang w:val="lt-LT"/>
        </w:rPr>
        <w:t xml:space="preserve"> punktu</w:t>
      </w:r>
      <w:r w:rsidR="00923AE6">
        <w:rPr>
          <w:sz w:val="24"/>
          <w:szCs w:val="24"/>
          <w:lang w:val="lt-LT"/>
        </w:rPr>
        <w:t xml:space="preserve"> ir atsižvelgdama į Lietuvos Respublikos švietimo ir mokslo ministerijos 2016 m. rugsėjo 19</w:t>
      </w:r>
      <w:r w:rsidRPr="002A3B38">
        <w:rPr>
          <w:sz w:val="24"/>
          <w:szCs w:val="24"/>
          <w:lang w:val="lt-LT"/>
        </w:rPr>
        <w:t xml:space="preserve"> </w:t>
      </w:r>
      <w:r w:rsidR="00923AE6">
        <w:rPr>
          <w:sz w:val="24"/>
          <w:szCs w:val="24"/>
          <w:lang w:val="lt-LT"/>
        </w:rPr>
        <w:t>d. raštą Nr. SR-4058 „Dėl švietimo įstaigai skirtų mokyklinių baldų komplektų perdavimo Rokiškio rajono savivaldybės nuosavybėn“,</w:t>
      </w:r>
      <w:r w:rsidR="00614F94">
        <w:rPr>
          <w:sz w:val="24"/>
          <w:szCs w:val="24"/>
          <w:lang w:val="lt-LT"/>
        </w:rPr>
        <w:t xml:space="preserve"> </w:t>
      </w:r>
      <w:r w:rsidRPr="002A3B38">
        <w:rPr>
          <w:sz w:val="24"/>
          <w:szCs w:val="24"/>
          <w:lang w:val="lt-LT"/>
        </w:rPr>
        <w:t>Rokiškio rajono savivaldybės taryba n u s p r e n d ž i a:</w:t>
      </w:r>
    </w:p>
    <w:p w14:paraId="624E7435" w14:textId="18D15276" w:rsidR="002A3B38" w:rsidRDefault="002A3B38" w:rsidP="006460F1">
      <w:pPr>
        <w:ind w:firstLine="720"/>
        <w:jc w:val="both"/>
        <w:rPr>
          <w:sz w:val="24"/>
          <w:szCs w:val="24"/>
          <w:lang w:val="lt-LT"/>
        </w:rPr>
      </w:pPr>
      <w:r w:rsidRPr="002A3B38">
        <w:rPr>
          <w:sz w:val="24"/>
          <w:szCs w:val="24"/>
          <w:lang w:val="lt-LT"/>
        </w:rPr>
        <w:t>1. Sutikti per</w:t>
      </w:r>
      <w:r w:rsidR="00CD0155">
        <w:rPr>
          <w:sz w:val="24"/>
          <w:szCs w:val="24"/>
          <w:lang w:val="lt-LT"/>
        </w:rPr>
        <w:t>imti savivaldybės nuosavybėn</w:t>
      </w:r>
      <w:r w:rsidR="000759FE">
        <w:rPr>
          <w:sz w:val="24"/>
          <w:szCs w:val="24"/>
          <w:lang w:val="lt-LT"/>
        </w:rPr>
        <w:t xml:space="preserve"> </w:t>
      </w:r>
      <w:proofErr w:type="spellStart"/>
      <w:r w:rsidR="000759FE">
        <w:rPr>
          <w:sz w:val="24"/>
          <w:szCs w:val="24"/>
          <w:lang w:val="lt-LT"/>
        </w:rPr>
        <w:t>savarankiškosioms</w:t>
      </w:r>
      <w:proofErr w:type="spellEnd"/>
      <w:r w:rsidR="000759FE">
        <w:rPr>
          <w:sz w:val="24"/>
          <w:szCs w:val="24"/>
          <w:lang w:val="lt-LT"/>
        </w:rPr>
        <w:t xml:space="preserve"> funkcijoms</w:t>
      </w:r>
      <w:r w:rsidR="00503710">
        <w:rPr>
          <w:sz w:val="24"/>
          <w:szCs w:val="24"/>
          <w:lang w:val="lt-LT"/>
        </w:rPr>
        <w:t xml:space="preserve"> </w:t>
      </w:r>
      <w:r w:rsidR="00323C44">
        <w:rPr>
          <w:sz w:val="24"/>
          <w:szCs w:val="24"/>
          <w:lang w:val="lt-LT"/>
        </w:rPr>
        <w:t>įgyvendinti</w:t>
      </w:r>
      <w:r w:rsidRPr="002A3B38">
        <w:rPr>
          <w:sz w:val="24"/>
          <w:szCs w:val="24"/>
          <w:lang w:val="lt-LT"/>
        </w:rPr>
        <w:t xml:space="preserve"> </w:t>
      </w:r>
      <w:r w:rsidR="000759FE">
        <w:rPr>
          <w:sz w:val="24"/>
          <w:szCs w:val="24"/>
          <w:lang w:val="lt-LT"/>
        </w:rPr>
        <w:t>valstybei nuosavybės teise priklausantį ir šiuo metu Švietimo ir mokslo ministerijos patikėjimo teise valdomą ilgalaikį mater</w:t>
      </w:r>
      <w:r w:rsidR="00373AE1">
        <w:rPr>
          <w:sz w:val="24"/>
          <w:szCs w:val="24"/>
          <w:lang w:val="lt-LT"/>
        </w:rPr>
        <w:t>ialųjį turtą (</w:t>
      </w:r>
      <w:r w:rsidR="00967A56">
        <w:rPr>
          <w:sz w:val="24"/>
          <w:szCs w:val="24"/>
          <w:lang w:val="lt-LT"/>
        </w:rPr>
        <w:t xml:space="preserve">mokyklinių </w:t>
      </w:r>
      <w:r w:rsidR="00373AE1">
        <w:rPr>
          <w:sz w:val="24"/>
          <w:szCs w:val="24"/>
          <w:lang w:val="lt-LT"/>
        </w:rPr>
        <w:t>baldų komplektus), kurio bendra įsigijimo (likutinė) vertė</w:t>
      </w:r>
      <w:r w:rsidR="009761C1">
        <w:rPr>
          <w:sz w:val="24"/>
          <w:szCs w:val="24"/>
          <w:lang w:val="lt-LT"/>
        </w:rPr>
        <w:t xml:space="preserve"> </w:t>
      </w:r>
      <w:r w:rsidR="009761C1" w:rsidRPr="000A0AE7">
        <w:rPr>
          <w:sz w:val="24"/>
          <w:szCs w:val="24"/>
          <w:lang w:val="lt-LT"/>
        </w:rPr>
        <w:t>–</w:t>
      </w:r>
      <w:r w:rsidR="00373AE1">
        <w:rPr>
          <w:sz w:val="24"/>
          <w:szCs w:val="24"/>
          <w:lang w:val="lt-LT"/>
        </w:rPr>
        <w:t xml:space="preserve"> </w:t>
      </w:r>
      <w:r w:rsidR="009761C1">
        <w:rPr>
          <w:sz w:val="24"/>
          <w:szCs w:val="24"/>
          <w:lang w:val="lt-LT"/>
        </w:rPr>
        <w:t xml:space="preserve">5616,34 </w:t>
      </w:r>
      <w:proofErr w:type="spellStart"/>
      <w:r w:rsidR="009761C1">
        <w:rPr>
          <w:sz w:val="24"/>
          <w:szCs w:val="24"/>
          <w:lang w:val="lt-LT"/>
        </w:rPr>
        <w:t>Eur</w:t>
      </w:r>
      <w:proofErr w:type="spellEnd"/>
      <w:r w:rsidR="008D3C6D">
        <w:rPr>
          <w:sz w:val="24"/>
          <w:szCs w:val="24"/>
          <w:lang w:val="lt-LT"/>
        </w:rPr>
        <w:t xml:space="preserve"> (</w:t>
      </w:r>
      <w:r w:rsidR="003B7D02">
        <w:rPr>
          <w:sz w:val="24"/>
          <w:szCs w:val="24"/>
          <w:lang w:val="lt-LT"/>
        </w:rPr>
        <w:t>priedas</w:t>
      </w:r>
      <w:r w:rsidR="008D3C6D">
        <w:rPr>
          <w:sz w:val="24"/>
          <w:szCs w:val="24"/>
          <w:lang w:val="lt-LT"/>
        </w:rPr>
        <w:t>)</w:t>
      </w:r>
      <w:r w:rsidR="009761C1">
        <w:rPr>
          <w:sz w:val="24"/>
          <w:szCs w:val="24"/>
          <w:lang w:val="lt-LT"/>
        </w:rPr>
        <w:t>.</w:t>
      </w:r>
    </w:p>
    <w:p w14:paraId="624E7436" w14:textId="77777777" w:rsidR="009761C1" w:rsidRDefault="009761C1" w:rsidP="006460F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Perduoti sprendimo 1 punkte nurodytą turtą, jį perėmus savivaldybės nuosavybėn, Rokiškio r. Kamajų Antano Strazdo gimnazijai</w:t>
      </w:r>
      <w:r w:rsidR="00476F33">
        <w:rPr>
          <w:sz w:val="24"/>
          <w:szCs w:val="24"/>
          <w:lang w:val="lt-LT"/>
        </w:rPr>
        <w:t xml:space="preserve"> (pagal priedą)</w:t>
      </w:r>
      <w:r>
        <w:rPr>
          <w:sz w:val="24"/>
          <w:szCs w:val="24"/>
          <w:lang w:val="lt-LT"/>
        </w:rPr>
        <w:t xml:space="preserve"> valdyti, naudoti ir disponuoti juo patikėjimo teise.</w:t>
      </w:r>
    </w:p>
    <w:p w14:paraId="624E7437" w14:textId="34A0CCB7" w:rsidR="002A3B38" w:rsidRPr="002A3B38" w:rsidRDefault="00B22F15" w:rsidP="006460F1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B38" w:rsidRPr="002A3B38">
        <w:rPr>
          <w:rFonts w:ascii="Times New Roman" w:hAnsi="Times New Roman" w:cs="Times New Roman"/>
          <w:sz w:val="24"/>
          <w:szCs w:val="24"/>
        </w:rPr>
        <w:t>. Įgalioti Rokiškio rajono savival</w:t>
      </w:r>
      <w:r w:rsidR="001A0C48">
        <w:rPr>
          <w:rFonts w:ascii="Times New Roman" w:hAnsi="Times New Roman" w:cs="Times New Roman"/>
          <w:sz w:val="24"/>
          <w:szCs w:val="24"/>
        </w:rPr>
        <w:t xml:space="preserve">dybės administracijos direktorių Valerijų </w:t>
      </w:r>
      <w:proofErr w:type="spellStart"/>
      <w:r w:rsidR="00614F94">
        <w:rPr>
          <w:rFonts w:ascii="Times New Roman" w:hAnsi="Times New Roman" w:cs="Times New Roman"/>
          <w:sz w:val="24"/>
          <w:szCs w:val="24"/>
        </w:rPr>
        <w:t>Rancevą</w:t>
      </w:r>
      <w:proofErr w:type="spellEnd"/>
      <w:r w:rsidR="002A3B38" w:rsidRPr="002A3B38">
        <w:rPr>
          <w:rFonts w:ascii="Times New Roman" w:hAnsi="Times New Roman" w:cs="Times New Roman"/>
          <w:sz w:val="24"/>
          <w:szCs w:val="24"/>
        </w:rPr>
        <w:t xml:space="preserve"> savivaldybės vardu pasirašyti 1 </w:t>
      </w:r>
      <w:r>
        <w:rPr>
          <w:rFonts w:ascii="Times New Roman" w:hAnsi="Times New Roman" w:cs="Times New Roman"/>
          <w:sz w:val="24"/>
          <w:szCs w:val="24"/>
        </w:rPr>
        <w:t>punkte nurodyto turto perdavimo ir priėmimo aktus.</w:t>
      </w:r>
    </w:p>
    <w:p w14:paraId="624E7438" w14:textId="77777777" w:rsidR="002A3B38" w:rsidRPr="002A3B38" w:rsidRDefault="002A3B38" w:rsidP="006460F1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B38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14:paraId="624E7439" w14:textId="77777777" w:rsidR="002A3B38" w:rsidRDefault="002A3B38" w:rsidP="002A3B38">
      <w:pPr>
        <w:rPr>
          <w:lang w:val="lt-LT"/>
        </w:rPr>
      </w:pPr>
    </w:p>
    <w:p w14:paraId="624E743A" w14:textId="77777777" w:rsidR="000E562B" w:rsidRDefault="000E562B" w:rsidP="002A3B38">
      <w:pPr>
        <w:rPr>
          <w:lang w:val="lt-LT"/>
        </w:rPr>
      </w:pPr>
    </w:p>
    <w:p w14:paraId="624E743B" w14:textId="77777777" w:rsidR="000E562B" w:rsidRPr="002A3B38" w:rsidRDefault="00614F94" w:rsidP="002A3B38">
      <w:pPr>
        <w:rPr>
          <w:lang w:val="lt-LT"/>
        </w:rPr>
      </w:pPr>
      <w:sdt>
        <w:sdtPr>
          <w:alias w:val="Pavadinimas"/>
          <w:tag w:val="title_7f1ed07e45c24afcb1f15e33a6ac6ff0"/>
          <w:id w:val="-2000871127"/>
          <w:showingPlcHdr/>
        </w:sdtPr>
        <w:sdtEndPr>
          <w:rPr>
            <w:sz w:val="24"/>
            <w:szCs w:val="24"/>
          </w:rPr>
        </w:sdtEndPr>
        <w:sdtContent>
          <w:r w:rsidR="00267301">
            <w:t xml:space="preserve">     </w:t>
          </w:r>
        </w:sdtContent>
      </w:sdt>
    </w:p>
    <w:p w14:paraId="624E743C" w14:textId="77777777" w:rsidR="002A3B38" w:rsidRPr="002A3B38" w:rsidRDefault="002A3B38" w:rsidP="002A3B38">
      <w:pPr>
        <w:rPr>
          <w:lang w:val="lt-LT"/>
        </w:rPr>
      </w:pPr>
    </w:p>
    <w:p w14:paraId="624E743D" w14:textId="77777777" w:rsidR="002A3B38" w:rsidRPr="002A3B38" w:rsidRDefault="002A3B38" w:rsidP="002A3B38">
      <w:pPr>
        <w:rPr>
          <w:sz w:val="24"/>
          <w:szCs w:val="24"/>
          <w:lang w:val="lt-LT"/>
        </w:rPr>
      </w:pPr>
      <w:r w:rsidRPr="002A3B38">
        <w:rPr>
          <w:sz w:val="24"/>
          <w:szCs w:val="24"/>
          <w:lang w:val="lt-LT"/>
        </w:rPr>
        <w:t>Savivaldybės meras</w:t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="000E562B">
        <w:rPr>
          <w:sz w:val="24"/>
          <w:szCs w:val="24"/>
          <w:lang w:val="lt-LT"/>
        </w:rPr>
        <w:tab/>
      </w:r>
      <w:r w:rsidR="000E562B">
        <w:rPr>
          <w:sz w:val="24"/>
          <w:szCs w:val="24"/>
          <w:lang w:val="lt-LT"/>
        </w:rPr>
        <w:tab/>
      </w:r>
      <w:r w:rsidR="000E562B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>Antanas Vagonis</w:t>
      </w:r>
    </w:p>
    <w:p w14:paraId="624E743E" w14:textId="77777777" w:rsidR="00CA536C" w:rsidRPr="002A3B38" w:rsidRDefault="00CA536C" w:rsidP="00CA536C">
      <w:pPr>
        <w:ind w:right="197"/>
        <w:rPr>
          <w:sz w:val="24"/>
          <w:szCs w:val="24"/>
          <w:lang w:val="lt-LT"/>
        </w:rPr>
      </w:pPr>
    </w:p>
    <w:p w14:paraId="624E743F" w14:textId="77777777" w:rsidR="001059F4" w:rsidRPr="002A3B38" w:rsidRDefault="001059F4" w:rsidP="00CA536C">
      <w:pPr>
        <w:ind w:right="197"/>
        <w:rPr>
          <w:sz w:val="24"/>
          <w:szCs w:val="24"/>
          <w:lang w:val="lt-LT"/>
        </w:rPr>
      </w:pPr>
    </w:p>
    <w:p w14:paraId="624E7440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41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42" w14:textId="77777777" w:rsidR="00BF6EFE" w:rsidRDefault="00BF6EFE" w:rsidP="00CA536C">
      <w:pPr>
        <w:ind w:right="197"/>
        <w:rPr>
          <w:sz w:val="24"/>
          <w:szCs w:val="24"/>
        </w:rPr>
      </w:pPr>
    </w:p>
    <w:p w14:paraId="624E7443" w14:textId="77777777" w:rsidR="00BF6EFE" w:rsidRDefault="00BF6EFE" w:rsidP="00CA536C">
      <w:pPr>
        <w:ind w:right="197"/>
        <w:rPr>
          <w:sz w:val="24"/>
          <w:szCs w:val="24"/>
        </w:rPr>
      </w:pPr>
    </w:p>
    <w:p w14:paraId="624E7444" w14:textId="77777777" w:rsidR="00BF6EFE" w:rsidRDefault="00BF6EFE" w:rsidP="00CA536C">
      <w:pPr>
        <w:ind w:right="197"/>
        <w:rPr>
          <w:sz w:val="24"/>
          <w:szCs w:val="24"/>
        </w:rPr>
      </w:pPr>
    </w:p>
    <w:p w14:paraId="624E7445" w14:textId="77777777" w:rsidR="00BF6EFE" w:rsidRDefault="00BF6EFE" w:rsidP="00CA536C">
      <w:pPr>
        <w:ind w:right="197"/>
        <w:rPr>
          <w:sz w:val="24"/>
          <w:szCs w:val="24"/>
        </w:rPr>
      </w:pPr>
    </w:p>
    <w:p w14:paraId="624E7446" w14:textId="77777777" w:rsidR="00BF6EFE" w:rsidRDefault="00BF6EFE" w:rsidP="00CA536C">
      <w:pPr>
        <w:ind w:right="197"/>
        <w:rPr>
          <w:sz w:val="24"/>
          <w:szCs w:val="24"/>
        </w:rPr>
      </w:pPr>
    </w:p>
    <w:p w14:paraId="624E7447" w14:textId="77777777" w:rsidR="00BF6EFE" w:rsidRDefault="00BF6EFE" w:rsidP="00CA536C">
      <w:pPr>
        <w:ind w:right="197"/>
        <w:rPr>
          <w:sz w:val="24"/>
          <w:szCs w:val="24"/>
        </w:rPr>
      </w:pPr>
    </w:p>
    <w:p w14:paraId="624E7448" w14:textId="77777777" w:rsidR="00BF6EFE" w:rsidRDefault="00BF6EFE" w:rsidP="00CA536C">
      <w:pPr>
        <w:ind w:right="197"/>
        <w:rPr>
          <w:sz w:val="24"/>
          <w:szCs w:val="24"/>
        </w:rPr>
      </w:pPr>
    </w:p>
    <w:p w14:paraId="624E7449" w14:textId="77777777" w:rsidR="00A80C2A" w:rsidRDefault="00A80C2A" w:rsidP="00CA536C">
      <w:pPr>
        <w:ind w:right="197"/>
        <w:rPr>
          <w:sz w:val="24"/>
          <w:szCs w:val="24"/>
        </w:rPr>
      </w:pPr>
    </w:p>
    <w:p w14:paraId="624E744A" w14:textId="77777777" w:rsidR="00A80C2A" w:rsidRDefault="00A80C2A" w:rsidP="00CA536C">
      <w:pPr>
        <w:ind w:right="197"/>
        <w:rPr>
          <w:sz w:val="24"/>
          <w:szCs w:val="24"/>
        </w:rPr>
      </w:pPr>
    </w:p>
    <w:p w14:paraId="624E744B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4C" w14:textId="77777777" w:rsidR="00C478A8" w:rsidRDefault="00C478A8" w:rsidP="00CA536C">
      <w:pPr>
        <w:ind w:right="197"/>
        <w:rPr>
          <w:sz w:val="24"/>
          <w:szCs w:val="24"/>
        </w:rPr>
      </w:pPr>
    </w:p>
    <w:p w14:paraId="624E744D" w14:textId="77777777" w:rsidR="00C478A8" w:rsidRDefault="00C478A8" w:rsidP="00CA536C">
      <w:pPr>
        <w:ind w:right="197"/>
        <w:rPr>
          <w:sz w:val="24"/>
          <w:szCs w:val="24"/>
        </w:rPr>
      </w:pPr>
    </w:p>
    <w:p w14:paraId="624E744E" w14:textId="77777777" w:rsidR="00C478A8" w:rsidRDefault="00C478A8" w:rsidP="00CA536C">
      <w:pPr>
        <w:ind w:right="197"/>
        <w:rPr>
          <w:sz w:val="24"/>
          <w:szCs w:val="24"/>
        </w:rPr>
      </w:pPr>
    </w:p>
    <w:p w14:paraId="624E744F" w14:textId="77777777" w:rsidR="001059F4" w:rsidRDefault="00152812" w:rsidP="00CA536C">
      <w:pPr>
        <w:ind w:right="197"/>
        <w:rPr>
          <w:sz w:val="24"/>
          <w:szCs w:val="24"/>
        </w:rPr>
      </w:pPr>
      <w:r>
        <w:rPr>
          <w:sz w:val="24"/>
          <w:szCs w:val="24"/>
        </w:rPr>
        <w:t>Rita Elmonienė</w:t>
      </w:r>
    </w:p>
    <w:p w14:paraId="624E7450" w14:textId="77777777" w:rsidR="00AA1890" w:rsidRPr="00AA1890" w:rsidRDefault="00AA1890" w:rsidP="00AA1890">
      <w:pPr>
        <w:ind w:left="5184" w:firstLine="6"/>
        <w:rPr>
          <w:sz w:val="24"/>
          <w:szCs w:val="24"/>
          <w:lang w:val="lt-LT"/>
        </w:rPr>
      </w:pPr>
      <w:r w:rsidRPr="00AA1890">
        <w:rPr>
          <w:sz w:val="24"/>
          <w:szCs w:val="24"/>
          <w:lang w:val="lt-LT"/>
        </w:rPr>
        <w:lastRenderedPageBreak/>
        <w:t>Rokiškio rajono savivaldybės tarybos</w:t>
      </w:r>
    </w:p>
    <w:p w14:paraId="624E7451" w14:textId="77777777" w:rsidR="00AA1890" w:rsidRPr="00AA1890" w:rsidRDefault="00FB5AE7" w:rsidP="00AA1890">
      <w:pPr>
        <w:ind w:left="5184" w:firstLine="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 m. spalio 28</w:t>
      </w:r>
      <w:r w:rsidR="00AA1890" w:rsidRPr="00AA1890">
        <w:rPr>
          <w:sz w:val="24"/>
          <w:szCs w:val="24"/>
          <w:lang w:val="lt-LT"/>
        </w:rPr>
        <w:t xml:space="preserve"> d. sprendimo Nr.</w:t>
      </w:r>
      <w:r w:rsidR="008D7B53">
        <w:rPr>
          <w:sz w:val="24"/>
          <w:szCs w:val="24"/>
          <w:lang w:val="lt-LT"/>
        </w:rPr>
        <w:t xml:space="preserve"> </w:t>
      </w:r>
      <w:r w:rsidR="00AA1890" w:rsidRPr="00AA1890">
        <w:rPr>
          <w:sz w:val="24"/>
          <w:szCs w:val="24"/>
          <w:lang w:val="lt-LT"/>
        </w:rPr>
        <w:t>TS-</w:t>
      </w:r>
    </w:p>
    <w:p w14:paraId="624E7452" w14:textId="77777777" w:rsidR="00AA1890" w:rsidRPr="00F13355" w:rsidRDefault="00AA1890" w:rsidP="00AA1890">
      <w:pPr>
        <w:rPr>
          <w:sz w:val="24"/>
          <w:szCs w:val="24"/>
          <w:lang w:val="lt-LT"/>
        </w:rPr>
      </w:pPr>
      <w:r w:rsidRPr="003B7D02">
        <w:rPr>
          <w:lang w:val="lt-LT"/>
        </w:rPr>
        <w:tab/>
      </w:r>
      <w:r w:rsidRPr="003B7D02">
        <w:rPr>
          <w:lang w:val="lt-LT"/>
        </w:rPr>
        <w:tab/>
      </w:r>
      <w:r w:rsidRPr="003B7D02">
        <w:rPr>
          <w:lang w:val="lt-LT"/>
        </w:rPr>
        <w:tab/>
      </w:r>
      <w:r w:rsidRPr="003B7D02">
        <w:rPr>
          <w:lang w:val="lt-LT"/>
        </w:rPr>
        <w:tab/>
      </w:r>
      <w:r w:rsidRPr="003B7D02">
        <w:rPr>
          <w:lang w:val="lt-LT"/>
        </w:rPr>
        <w:tab/>
      </w:r>
      <w:r w:rsidRPr="003B7D02">
        <w:rPr>
          <w:lang w:val="lt-LT"/>
        </w:rPr>
        <w:tab/>
      </w:r>
      <w:r w:rsidRPr="003B7D02">
        <w:rPr>
          <w:lang w:val="lt-LT"/>
        </w:rPr>
        <w:tab/>
        <w:t xml:space="preserve">   </w:t>
      </w:r>
      <w:r w:rsidRPr="00F13355">
        <w:rPr>
          <w:sz w:val="24"/>
          <w:szCs w:val="24"/>
          <w:lang w:val="lt-LT"/>
        </w:rPr>
        <w:t>priedas</w:t>
      </w:r>
    </w:p>
    <w:p w14:paraId="624E7453" w14:textId="77777777" w:rsidR="00AA1890" w:rsidRPr="003B7D02" w:rsidRDefault="00AA1890" w:rsidP="00AA1890">
      <w:pPr>
        <w:ind w:left="5184" w:firstLine="6"/>
        <w:rPr>
          <w:lang w:val="lt-LT"/>
        </w:rPr>
      </w:pPr>
      <w:r w:rsidRPr="003B7D02">
        <w:rPr>
          <w:sz w:val="24"/>
          <w:szCs w:val="24"/>
          <w:lang w:val="lt-LT"/>
        </w:rPr>
        <w:tab/>
      </w:r>
      <w:r w:rsidRPr="003B7D02">
        <w:rPr>
          <w:sz w:val="24"/>
          <w:szCs w:val="24"/>
          <w:lang w:val="lt-LT"/>
        </w:rPr>
        <w:tab/>
      </w:r>
      <w:r w:rsidRPr="003B7D02">
        <w:rPr>
          <w:sz w:val="24"/>
          <w:szCs w:val="24"/>
          <w:lang w:val="lt-LT"/>
        </w:rPr>
        <w:tab/>
      </w:r>
      <w:r w:rsidRPr="003B7D02">
        <w:rPr>
          <w:lang w:val="lt-LT"/>
        </w:rPr>
        <w:tab/>
      </w:r>
      <w:r w:rsidRPr="003B7D02">
        <w:rPr>
          <w:lang w:val="lt-LT"/>
        </w:rPr>
        <w:tab/>
      </w:r>
      <w:r w:rsidRPr="003B7D02">
        <w:rPr>
          <w:lang w:val="lt-LT"/>
        </w:rPr>
        <w:tab/>
      </w:r>
    </w:p>
    <w:p w14:paraId="624E7454" w14:textId="77777777" w:rsidR="00AA1890" w:rsidRPr="003B7D02" w:rsidRDefault="00AA1890" w:rsidP="00AA1890">
      <w:pPr>
        <w:ind w:left="5184" w:firstLine="6"/>
        <w:rPr>
          <w:lang w:val="lt-LT"/>
        </w:rPr>
      </w:pPr>
    </w:p>
    <w:p w14:paraId="624E7455" w14:textId="77777777" w:rsidR="00AA1890" w:rsidRDefault="00AA1890" w:rsidP="00AA1890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VALSTYBĖS TURTO (</w:t>
      </w:r>
      <w:r w:rsidR="00967A56">
        <w:rPr>
          <w:b/>
          <w:bCs/>
          <w:sz w:val="24"/>
          <w:szCs w:val="24"/>
          <w:lang w:val="lt-LT"/>
        </w:rPr>
        <w:t xml:space="preserve">MOKYKLINIŲ </w:t>
      </w:r>
      <w:r>
        <w:rPr>
          <w:b/>
          <w:bCs/>
          <w:sz w:val="24"/>
          <w:szCs w:val="24"/>
          <w:lang w:val="lt-LT"/>
        </w:rPr>
        <w:t xml:space="preserve">BALDŲ KOMPLEKTŲ), PERIMAMO ROKIŠKIO </w:t>
      </w:r>
      <w:r w:rsidR="00807174">
        <w:rPr>
          <w:b/>
          <w:bCs/>
          <w:sz w:val="24"/>
          <w:szCs w:val="24"/>
          <w:lang w:val="lt-LT"/>
        </w:rPr>
        <w:t>RAJONO SAVIVALDYBĖS NUOSAVYBĖN,</w:t>
      </w:r>
    </w:p>
    <w:p w14:paraId="624E7456" w14:textId="77777777" w:rsidR="00AA1890" w:rsidRDefault="00AA1890" w:rsidP="00AA1890">
      <w:pPr>
        <w:jc w:val="center"/>
      </w:pPr>
      <w:r>
        <w:rPr>
          <w:b/>
          <w:bCs/>
          <w:sz w:val="24"/>
          <w:szCs w:val="24"/>
          <w:lang w:val="lt-LT"/>
        </w:rPr>
        <w:t>SĄRAŠAS</w:t>
      </w:r>
    </w:p>
    <w:p w14:paraId="624E7457" w14:textId="77777777" w:rsidR="00AA1890" w:rsidRDefault="00AA1890" w:rsidP="00AA189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09"/>
        <w:gridCol w:w="1056"/>
        <w:gridCol w:w="1627"/>
        <w:gridCol w:w="1635"/>
        <w:gridCol w:w="1640"/>
        <w:gridCol w:w="1630"/>
      </w:tblGrid>
      <w:tr w:rsidR="009816E8" w:rsidRPr="003B7D02" w14:paraId="624E7461" w14:textId="77777777" w:rsidTr="00D5167B">
        <w:tc>
          <w:tcPr>
            <w:tcW w:w="2209" w:type="dxa"/>
            <w:vMerge w:val="restart"/>
          </w:tcPr>
          <w:p w14:paraId="624E7458" w14:textId="77777777" w:rsidR="009816E8" w:rsidRPr="00F13355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335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Švietimo įstaigos pavadinimas, adresas,</w:t>
            </w:r>
          </w:p>
          <w:p w14:paraId="624E7459" w14:textId="77777777" w:rsidR="009816E8" w:rsidRDefault="009816E8" w:rsidP="008131AF">
            <w:pPr>
              <w:jc w:val="center"/>
            </w:pPr>
            <w:r w:rsidRPr="00F1335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1056" w:type="dxa"/>
            <w:vMerge w:val="restart"/>
          </w:tcPr>
          <w:p w14:paraId="624E745A" w14:textId="77777777" w:rsidR="009816E8" w:rsidRPr="008D7B53" w:rsidRDefault="009816E8" w:rsidP="008131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D7B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IT</w:t>
            </w:r>
          </w:p>
          <w:p w14:paraId="624E745B" w14:textId="77777777" w:rsidR="009816E8" w:rsidRDefault="009816E8" w:rsidP="008131AF">
            <w:pPr>
              <w:jc w:val="center"/>
            </w:pPr>
            <w:r w:rsidRPr="008D7B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3262" w:type="dxa"/>
            <w:gridSpan w:val="2"/>
          </w:tcPr>
          <w:p w14:paraId="624E745C" w14:textId="77777777" w:rsidR="009816E8" w:rsidRPr="003B7D02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B7D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Vyresniųjų klasių baldų komplektai</w:t>
            </w:r>
          </w:p>
          <w:p w14:paraId="624E745D" w14:textId="77777777" w:rsidR="009816E8" w:rsidRPr="003B7D02" w:rsidRDefault="009816E8" w:rsidP="008131AF">
            <w:pPr>
              <w:jc w:val="center"/>
            </w:pPr>
            <w:r w:rsidRPr="003B7D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(vienviečiai)</w:t>
            </w:r>
          </w:p>
        </w:tc>
        <w:tc>
          <w:tcPr>
            <w:tcW w:w="1640" w:type="dxa"/>
            <w:vMerge w:val="restart"/>
          </w:tcPr>
          <w:p w14:paraId="624E745E" w14:textId="77777777" w:rsidR="009816E8" w:rsidRPr="003B7D02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B7D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perduodamų komplektų kiekis,</w:t>
            </w:r>
          </w:p>
          <w:p w14:paraId="624E745F" w14:textId="77777777" w:rsidR="009816E8" w:rsidRPr="003B7D02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B7D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vienetais</w:t>
            </w:r>
          </w:p>
        </w:tc>
        <w:tc>
          <w:tcPr>
            <w:tcW w:w="1630" w:type="dxa"/>
            <w:vMerge w:val="restart"/>
          </w:tcPr>
          <w:p w14:paraId="624E7460" w14:textId="77777777" w:rsidR="009816E8" w:rsidRPr="00F13355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335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Bendra įsigijimo (likutinė) vertė,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9816E8" w:rsidRPr="00614F94" w14:paraId="624E7469" w14:textId="77777777" w:rsidTr="00D5167B">
        <w:tc>
          <w:tcPr>
            <w:tcW w:w="2209" w:type="dxa"/>
            <w:vMerge/>
          </w:tcPr>
          <w:p w14:paraId="624E7462" w14:textId="77777777" w:rsidR="009816E8" w:rsidRPr="003B7D02" w:rsidRDefault="009816E8" w:rsidP="008131AF">
            <w:pPr>
              <w:rPr>
                <w:lang w:val="lt-LT"/>
              </w:rPr>
            </w:pPr>
          </w:p>
        </w:tc>
        <w:tc>
          <w:tcPr>
            <w:tcW w:w="1056" w:type="dxa"/>
            <w:vMerge/>
          </w:tcPr>
          <w:p w14:paraId="624E7463" w14:textId="77777777" w:rsidR="009816E8" w:rsidRPr="003B7D02" w:rsidRDefault="009816E8" w:rsidP="008131AF">
            <w:pPr>
              <w:rPr>
                <w:lang w:val="lt-LT"/>
              </w:rPr>
            </w:pPr>
          </w:p>
        </w:tc>
        <w:tc>
          <w:tcPr>
            <w:tcW w:w="1627" w:type="dxa"/>
          </w:tcPr>
          <w:p w14:paraId="624E7464" w14:textId="77777777" w:rsidR="009816E8" w:rsidRPr="00F13355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335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Kiekis, vienetais</w:t>
            </w:r>
          </w:p>
        </w:tc>
        <w:tc>
          <w:tcPr>
            <w:tcW w:w="1635" w:type="dxa"/>
          </w:tcPr>
          <w:p w14:paraId="624E7465" w14:textId="77777777" w:rsidR="009816E8" w:rsidRPr="003B7D02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B7D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Komplektų įsigijimo (likutinė) vertė, </w:t>
            </w:r>
            <w:proofErr w:type="spellStart"/>
            <w:r w:rsidRPr="003B7D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</w:p>
          <w:p w14:paraId="624E7466" w14:textId="77777777" w:rsidR="009816E8" w:rsidRPr="003B7D02" w:rsidRDefault="009816E8" w:rsidP="008131A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B7D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(1 vieneto kaina su PVM 2808,17 </w:t>
            </w:r>
            <w:proofErr w:type="spellStart"/>
            <w:r w:rsidRPr="003B7D02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proofErr w:type="spellEnd"/>
            <w:r w:rsidRPr="003B7D02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640" w:type="dxa"/>
            <w:vMerge/>
          </w:tcPr>
          <w:p w14:paraId="624E7467" w14:textId="77777777" w:rsidR="009816E8" w:rsidRPr="003B7D02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30" w:type="dxa"/>
            <w:vMerge/>
          </w:tcPr>
          <w:p w14:paraId="624E7468" w14:textId="77777777" w:rsidR="009816E8" w:rsidRPr="003B7D02" w:rsidRDefault="009816E8" w:rsidP="008131AF">
            <w:pPr>
              <w:rPr>
                <w:lang w:val="lt-LT"/>
              </w:rPr>
            </w:pPr>
          </w:p>
        </w:tc>
      </w:tr>
      <w:tr w:rsidR="009816E8" w14:paraId="624E7477" w14:textId="77777777" w:rsidTr="00D5167B">
        <w:tc>
          <w:tcPr>
            <w:tcW w:w="2209" w:type="dxa"/>
          </w:tcPr>
          <w:p w14:paraId="624E746A" w14:textId="77777777" w:rsidR="009816E8" w:rsidRPr="000F7671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7671">
              <w:rPr>
                <w:rFonts w:ascii="Times New Roman" w:hAnsi="Times New Roman"/>
                <w:sz w:val="24"/>
                <w:szCs w:val="24"/>
                <w:lang w:val="lt-LT"/>
              </w:rPr>
              <w:t>Rokiškio r. Kamajų Antano Strazdo gimnazija</w:t>
            </w:r>
          </w:p>
          <w:p w14:paraId="624E746B" w14:textId="77777777" w:rsidR="009816E8" w:rsidRPr="000F7671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4E746C" w14:textId="77777777" w:rsidR="009816E8" w:rsidRPr="000F7671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7671">
              <w:rPr>
                <w:rFonts w:ascii="Times New Roman" w:hAnsi="Times New Roman"/>
                <w:sz w:val="24"/>
                <w:szCs w:val="24"/>
                <w:lang w:val="lt-LT"/>
              </w:rPr>
              <w:t>Kazio Šešelgio g. 7,</w:t>
            </w:r>
          </w:p>
          <w:p w14:paraId="624E746D" w14:textId="77777777" w:rsidR="009816E8" w:rsidRPr="000F7671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7671">
              <w:rPr>
                <w:rFonts w:ascii="Times New Roman" w:hAnsi="Times New Roman"/>
                <w:sz w:val="24"/>
                <w:szCs w:val="24"/>
                <w:lang w:val="lt-LT"/>
              </w:rPr>
              <w:t>Kamajai,</w:t>
            </w:r>
          </w:p>
          <w:p w14:paraId="624E746E" w14:textId="77777777" w:rsidR="009816E8" w:rsidRPr="000F7671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7671">
              <w:rPr>
                <w:rFonts w:ascii="Times New Roman" w:hAnsi="Times New Roman"/>
                <w:sz w:val="24"/>
                <w:szCs w:val="24"/>
                <w:lang w:val="lt-LT"/>
              </w:rPr>
              <w:t>Rokiškio r.</w:t>
            </w:r>
          </w:p>
          <w:p w14:paraId="624E746F" w14:textId="77777777" w:rsidR="009816E8" w:rsidRPr="000F7671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24E7470" w14:textId="77777777" w:rsidR="009816E8" w:rsidRPr="000F7671" w:rsidRDefault="009816E8" w:rsidP="008131A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7671">
              <w:rPr>
                <w:rFonts w:ascii="Times New Roman" w:hAnsi="Times New Roman"/>
                <w:sz w:val="24"/>
                <w:szCs w:val="24"/>
                <w:lang w:val="lt-LT"/>
              </w:rPr>
              <w:t>190250136</w:t>
            </w:r>
          </w:p>
          <w:p w14:paraId="624E7471" w14:textId="77777777" w:rsidR="009816E8" w:rsidRDefault="009816E8" w:rsidP="008131AF"/>
        </w:tc>
        <w:tc>
          <w:tcPr>
            <w:tcW w:w="1056" w:type="dxa"/>
          </w:tcPr>
          <w:p w14:paraId="624E7472" w14:textId="77777777" w:rsidR="009816E8" w:rsidRDefault="009816E8" w:rsidP="008131AF">
            <w:r w:rsidRPr="008D7B53">
              <w:rPr>
                <w:rFonts w:ascii="Times New Roman" w:hAnsi="Times New Roman" w:cs="Times New Roman"/>
                <w:sz w:val="24"/>
                <w:szCs w:val="24"/>
              </w:rPr>
              <w:t>1208100</w:t>
            </w:r>
          </w:p>
        </w:tc>
        <w:tc>
          <w:tcPr>
            <w:tcW w:w="1627" w:type="dxa"/>
          </w:tcPr>
          <w:p w14:paraId="624E7473" w14:textId="77777777" w:rsidR="009816E8" w:rsidRDefault="009816E8" w:rsidP="0081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14:paraId="624E7474" w14:textId="77777777" w:rsidR="009816E8" w:rsidRDefault="009816E8" w:rsidP="0081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5616,34</w:t>
            </w:r>
          </w:p>
        </w:tc>
        <w:tc>
          <w:tcPr>
            <w:tcW w:w="1640" w:type="dxa"/>
          </w:tcPr>
          <w:p w14:paraId="624E7475" w14:textId="77777777" w:rsidR="009816E8" w:rsidRDefault="009816E8" w:rsidP="0081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624E7476" w14:textId="77777777" w:rsidR="009816E8" w:rsidRDefault="009816E8" w:rsidP="0081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5616,34</w:t>
            </w:r>
          </w:p>
        </w:tc>
      </w:tr>
      <w:tr w:rsidR="009816E8" w:rsidRPr="00FA5B50" w14:paraId="624E747D" w14:textId="77777777" w:rsidTr="00D5167B">
        <w:tc>
          <w:tcPr>
            <w:tcW w:w="3265" w:type="dxa"/>
            <w:gridSpan w:val="2"/>
          </w:tcPr>
          <w:p w14:paraId="624E7478" w14:textId="77777777" w:rsidR="009816E8" w:rsidRDefault="009816E8" w:rsidP="008131AF">
            <w:r w:rsidRPr="000F767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627" w:type="dxa"/>
          </w:tcPr>
          <w:p w14:paraId="624E7479" w14:textId="77777777" w:rsidR="009816E8" w:rsidRPr="00BB779A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14:paraId="624E747A" w14:textId="77777777" w:rsidR="009816E8" w:rsidRPr="00FA5B50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B50">
              <w:rPr>
                <w:rFonts w:ascii="Times New Roman" w:hAnsi="Times New Roman"/>
                <w:b/>
                <w:sz w:val="24"/>
                <w:szCs w:val="24"/>
              </w:rPr>
              <w:t>5616,34</w:t>
            </w:r>
          </w:p>
        </w:tc>
        <w:tc>
          <w:tcPr>
            <w:tcW w:w="1640" w:type="dxa"/>
          </w:tcPr>
          <w:p w14:paraId="624E747B" w14:textId="77777777" w:rsidR="009816E8" w:rsidRPr="00BB779A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624E747C" w14:textId="77777777" w:rsidR="009816E8" w:rsidRPr="00FA5B50" w:rsidRDefault="009816E8" w:rsidP="00813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B50">
              <w:rPr>
                <w:rFonts w:ascii="Times New Roman" w:hAnsi="Times New Roman"/>
                <w:b/>
                <w:sz w:val="24"/>
                <w:szCs w:val="24"/>
              </w:rPr>
              <w:t>5616,34</w:t>
            </w:r>
          </w:p>
        </w:tc>
      </w:tr>
    </w:tbl>
    <w:p w14:paraId="624E747E" w14:textId="77777777" w:rsidR="00AA1890" w:rsidRPr="00B225DC" w:rsidRDefault="00AA1890" w:rsidP="00AA1890">
      <w:pPr>
        <w:rPr>
          <w:sz w:val="24"/>
          <w:szCs w:val="24"/>
        </w:rPr>
      </w:pPr>
    </w:p>
    <w:p w14:paraId="624E747F" w14:textId="77777777" w:rsidR="00AA1890" w:rsidRDefault="00AA1890" w:rsidP="00EF2C9B">
      <w:pPr>
        <w:tabs>
          <w:tab w:val="left" w:pos="4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624E7480" w14:textId="77777777" w:rsidR="00AA1890" w:rsidRDefault="00AA1890" w:rsidP="00152812">
      <w:pPr>
        <w:jc w:val="both"/>
        <w:rPr>
          <w:sz w:val="24"/>
          <w:szCs w:val="24"/>
          <w:lang w:val="lt-LT"/>
        </w:rPr>
      </w:pPr>
    </w:p>
    <w:p w14:paraId="624E7481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2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3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4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5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6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7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8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9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A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B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C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D" w14:textId="77777777" w:rsidR="00B25253" w:rsidRDefault="00B25253" w:rsidP="00152812">
      <w:pPr>
        <w:jc w:val="both"/>
        <w:rPr>
          <w:sz w:val="24"/>
          <w:szCs w:val="24"/>
          <w:lang w:val="lt-LT"/>
        </w:rPr>
      </w:pPr>
    </w:p>
    <w:p w14:paraId="624E748E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8F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90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91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92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93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94" w14:textId="77777777" w:rsidR="00E6084A" w:rsidRDefault="00E6084A" w:rsidP="00152812">
      <w:pPr>
        <w:jc w:val="both"/>
        <w:rPr>
          <w:sz w:val="24"/>
          <w:szCs w:val="24"/>
          <w:lang w:val="lt-LT"/>
        </w:rPr>
      </w:pPr>
    </w:p>
    <w:p w14:paraId="624E7495" w14:textId="77777777" w:rsidR="00152812" w:rsidRPr="006E3D5D" w:rsidRDefault="00152812" w:rsidP="00152812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24E7496" w14:textId="77777777" w:rsidR="00152812" w:rsidRPr="006E3D5D" w:rsidRDefault="00152812" w:rsidP="00152812">
      <w:pPr>
        <w:jc w:val="both"/>
        <w:rPr>
          <w:sz w:val="24"/>
          <w:szCs w:val="24"/>
          <w:lang w:val="lt-LT"/>
        </w:rPr>
      </w:pPr>
    </w:p>
    <w:p w14:paraId="624E7497" w14:textId="77777777" w:rsidR="00152812" w:rsidRPr="006E3D5D" w:rsidRDefault="00152812" w:rsidP="00152812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E6084A" w:rsidRPr="003B7D02">
        <w:rPr>
          <w:b/>
          <w:sz w:val="24"/>
          <w:szCs w:val="24"/>
          <w:lang w:val="lt-LT"/>
        </w:rPr>
        <w:t>DĖL SUTIKIMO PERIMTI VALSTYBĖS ILGALAIKĮ MATERIALŲJĮ TURTĄ (</w:t>
      </w:r>
      <w:r w:rsidR="00B25253" w:rsidRPr="003B7D02">
        <w:rPr>
          <w:b/>
          <w:sz w:val="24"/>
          <w:szCs w:val="24"/>
          <w:lang w:val="lt-LT"/>
        </w:rPr>
        <w:t xml:space="preserve">MOKYKLINIŲ </w:t>
      </w:r>
      <w:r w:rsidR="00E6084A" w:rsidRPr="003B7D02">
        <w:rPr>
          <w:b/>
          <w:sz w:val="24"/>
          <w:szCs w:val="24"/>
          <w:lang w:val="lt-LT"/>
        </w:rPr>
        <w:t>BALDŲ KOMPLEKTUS) IR JO PERDAVIMO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624E7498" w14:textId="77777777" w:rsidR="00152812" w:rsidRPr="006E3D5D" w:rsidRDefault="00152812" w:rsidP="00152812">
      <w:pPr>
        <w:ind w:right="197"/>
        <w:jc w:val="center"/>
        <w:rPr>
          <w:b/>
          <w:sz w:val="24"/>
          <w:szCs w:val="24"/>
          <w:lang w:val="lt-LT"/>
        </w:rPr>
      </w:pPr>
    </w:p>
    <w:p w14:paraId="624E7499" w14:textId="77777777" w:rsidR="00152812" w:rsidRPr="006E3D5D" w:rsidRDefault="00152812" w:rsidP="0015281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24E749A" w14:textId="77777777" w:rsidR="00152812" w:rsidRDefault="00152812" w:rsidP="00152812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6F14A6">
        <w:rPr>
          <w:sz w:val="24"/>
          <w:szCs w:val="24"/>
          <w:lang w:val="lt-LT"/>
        </w:rPr>
        <w:t xml:space="preserve"> sutikti</w:t>
      </w:r>
      <w:r w:rsidR="00503710">
        <w:rPr>
          <w:sz w:val="24"/>
          <w:szCs w:val="24"/>
          <w:lang w:val="lt-LT"/>
        </w:rPr>
        <w:t xml:space="preserve"> </w:t>
      </w:r>
      <w:r w:rsidR="006F14A6" w:rsidRPr="001A3A05">
        <w:rPr>
          <w:sz w:val="24"/>
          <w:szCs w:val="24"/>
          <w:lang w:val="lt-LT"/>
        </w:rPr>
        <w:t>perimti savivaldybės nuosavybėn vals</w:t>
      </w:r>
      <w:r w:rsidR="006F14A6">
        <w:rPr>
          <w:sz w:val="24"/>
          <w:szCs w:val="24"/>
          <w:lang w:val="lt-LT"/>
        </w:rPr>
        <w:t>tybės ilgalaikį materialųjį turtą (</w:t>
      </w:r>
      <w:r w:rsidR="00B25253">
        <w:rPr>
          <w:sz w:val="24"/>
          <w:szCs w:val="24"/>
          <w:lang w:val="lt-LT"/>
        </w:rPr>
        <w:t xml:space="preserve">mokyklinių </w:t>
      </w:r>
      <w:r w:rsidR="006F14A6">
        <w:rPr>
          <w:sz w:val="24"/>
          <w:szCs w:val="24"/>
          <w:lang w:val="lt-LT"/>
        </w:rPr>
        <w:t>baldų komplektus</w:t>
      </w:r>
      <w:r w:rsidR="006F14A6" w:rsidRPr="001A3A05">
        <w:rPr>
          <w:sz w:val="24"/>
          <w:szCs w:val="24"/>
          <w:lang w:val="lt-LT"/>
        </w:rPr>
        <w:t xml:space="preserve">) ir </w:t>
      </w:r>
      <w:r w:rsidR="006F14A6">
        <w:rPr>
          <w:sz w:val="24"/>
          <w:szCs w:val="24"/>
          <w:lang w:val="lt-LT"/>
        </w:rPr>
        <w:t>šį turtą perduoti valdyti, naudoti ir disponuoti juo patikėjimo teise Rokiškio r. Kamajų Antano Strazdo gimnazijai.</w:t>
      </w:r>
    </w:p>
    <w:p w14:paraId="624E749B" w14:textId="77777777" w:rsidR="00152812" w:rsidRDefault="00152812" w:rsidP="0015281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24E749C" w14:textId="77777777" w:rsidR="005004BC" w:rsidRDefault="00152812" w:rsidP="00152812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 xml:space="preserve">, </w:t>
      </w:r>
      <w:r w:rsidR="00190E5A" w:rsidRPr="002A3B38">
        <w:rPr>
          <w:sz w:val="24"/>
          <w:szCs w:val="24"/>
          <w:lang w:val="lt-LT"/>
        </w:rPr>
        <w:t>Lietuvos Respublikos valstybės ir savivaldybių turto valdymo, naudojimo ir disponavimo juo įstatym</w:t>
      </w:r>
      <w:r w:rsidR="00400381">
        <w:rPr>
          <w:sz w:val="24"/>
          <w:szCs w:val="24"/>
          <w:lang w:val="lt-LT"/>
        </w:rPr>
        <w:t>as</w:t>
      </w:r>
      <w:r w:rsidR="005004BC">
        <w:rPr>
          <w:sz w:val="24"/>
          <w:szCs w:val="24"/>
          <w:lang w:val="lt-LT"/>
        </w:rPr>
        <w:t>.</w:t>
      </w:r>
    </w:p>
    <w:p w14:paraId="624E749D" w14:textId="77777777" w:rsidR="00152812" w:rsidRDefault="00152812" w:rsidP="00152812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24E749E" w14:textId="77777777" w:rsidR="006148D7" w:rsidRDefault="005004BC" w:rsidP="005004BC">
      <w:pPr>
        <w:pStyle w:val="Default"/>
        <w:ind w:firstLine="851"/>
        <w:jc w:val="both"/>
      </w:pPr>
      <w:r w:rsidRPr="00F300EB">
        <w:t xml:space="preserve">Lietuvos Respublikos </w:t>
      </w:r>
      <w:r>
        <w:t xml:space="preserve">švietimo ir mokslo ministerija, įgyvendindama Švietimo įstaigų modernizavimo programą, patvirtintą Lietuvos Respublikos švietimo ir mokslo ministro 2013 m. gegužės 10 d. įsakymu Nr. V-410, 2016 m. atviro konkurso būdu pirko savivaldybių švietimo įstaigoms mokyklinių baldų. Todėl vadovaujantis Lietuvos Respublikos valstybės ir savivaldybių turto valdymo, naudojimo ir disponavimo juo įstatymo 6 straipsnio 2 punktu ir 20 straipsnio 1 dalies 4 punktu, </w:t>
      </w:r>
      <w:r w:rsidRPr="00C7559E">
        <w:t>Lietuvos Respublikos vietos savivaldos įstatymo 6 straipsnio 5 ir 6 punktais</w:t>
      </w:r>
      <w:r>
        <w:t xml:space="preserve"> valstybės turtas perduodamas savivaldybių nuosavybėn pagal Vyriausybės nutarimus, esant savivaldybės tarybos sutikimui.</w:t>
      </w:r>
    </w:p>
    <w:p w14:paraId="624E749F" w14:textId="77777777" w:rsidR="00152812" w:rsidRPr="006E3D5D" w:rsidRDefault="00152812" w:rsidP="00AD3D95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24E74A0" w14:textId="77777777" w:rsidR="00152812" w:rsidRPr="005F457F" w:rsidRDefault="00152812" w:rsidP="0015281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B25253">
        <w:rPr>
          <w:bCs/>
          <w:sz w:val="24"/>
          <w:szCs w:val="24"/>
          <w:lang w:val="lt-LT"/>
        </w:rPr>
        <w:t>;</w:t>
      </w:r>
      <w:r w:rsidR="005004BC">
        <w:rPr>
          <w:bCs/>
          <w:sz w:val="24"/>
          <w:szCs w:val="24"/>
          <w:lang w:val="lt-LT"/>
        </w:rPr>
        <w:t xml:space="preserve"> </w:t>
      </w:r>
      <w:r w:rsidR="005004BC" w:rsidRPr="003B7D02">
        <w:rPr>
          <w:sz w:val="24"/>
          <w:szCs w:val="24"/>
          <w:lang w:val="lt-LT"/>
        </w:rPr>
        <w:t>Rokiškio r.</w:t>
      </w:r>
      <w:r w:rsidR="005004BC" w:rsidRPr="005F457F">
        <w:rPr>
          <w:sz w:val="24"/>
          <w:szCs w:val="24"/>
          <w:lang w:val="lt-LT"/>
        </w:rPr>
        <w:t xml:space="preserve"> Kamajų Antano Strazdo gimnazijai šis turtas (</w:t>
      </w:r>
      <w:r w:rsidR="00B25253">
        <w:rPr>
          <w:sz w:val="24"/>
          <w:szCs w:val="24"/>
          <w:lang w:val="lt-LT"/>
        </w:rPr>
        <w:t xml:space="preserve">mokyklinių </w:t>
      </w:r>
      <w:r w:rsidR="005004BC" w:rsidRPr="005F457F">
        <w:rPr>
          <w:sz w:val="24"/>
          <w:szCs w:val="24"/>
          <w:lang w:val="lt-LT"/>
        </w:rPr>
        <w:t>baldų komplektai) perduodamas valdyti, naudoti ir disponuoti juo patikėjimo teise</w:t>
      </w:r>
      <w:r w:rsidR="000D2081">
        <w:rPr>
          <w:sz w:val="24"/>
          <w:szCs w:val="24"/>
          <w:lang w:val="lt-LT"/>
        </w:rPr>
        <w:t>;</w:t>
      </w:r>
    </w:p>
    <w:p w14:paraId="624E74A1" w14:textId="77777777" w:rsidR="00152812" w:rsidRPr="006E3D5D" w:rsidRDefault="00152812" w:rsidP="00152812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24E74A2" w14:textId="77777777" w:rsidR="00152812" w:rsidRDefault="00152812" w:rsidP="0015281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24E74A3" w14:textId="77777777" w:rsidR="00531AAB" w:rsidRDefault="00531AAB" w:rsidP="00531AAB">
      <w:pPr>
        <w:pStyle w:val="Default"/>
        <w:ind w:firstLine="851"/>
        <w:jc w:val="both"/>
        <w:rPr>
          <w:b/>
          <w:bCs/>
        </w:rPr>
      </w:pPr>
      <w:r>
        <w:t xml:space="preserve">Projekto įgyvendinimui savivaldybės  biudžeto lėšų nereikia. </w:t>
      </w:r>
    </w:p>
    <w:p w14:paraId="624E74A4" w14:textId="77777777" w:rsidR="00152812" w:rsidRPr="006E3D5D" w:rsidRDefault="00152812" w:rsidP="0015281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24E74A5" w14:textId="77777777" w:rsidR="00152812" w:rsidRDefault="00152812" w:rsidP="0015281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24E74A6" w14:textId="77777777" w:rsidR="00152812" w:rsidRPr="00531AAB" w:rsidRDefault="00152812" w:rsidP="00152812">
      <w:pPr>
        <w:pStyle w:val="Betarp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AAB">
        <w:rPr>
          <w:rFonts w:ascii="Times New Roman" w:hAnsi="Times New Roman" w:cs="Times New Roman"/>
          <w:b/>
          <w:sz w:val="24"/>
          <w:szCs w:val="24"/>
        </w:rPr>
        <w:t>Antikorupcinis vertinimas</w:t>
      </w:r>
      <w:r w:rsidRPr="00531AAB">
        <w:rPr>
          <w:rFonts w:ascii="Times New Roman" w:hAnsi="Times New Roman" w:cs="Times New Roman"/>
          <w:sz w:val="24"/>
          <w:szCs w:val="24"/>
        </w:rPr>
        <w:t>.</w:t>
      </w:r>
    </w:p>
    <w:p w14:paraId="624E74A7" w14:textId="77777777" w:rsidR="00152812" w:rsidRDefault="00152812" w:rsidP="0015281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 w:rsidR="00CC063E"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 w:rsidR="00CC063E"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624E74A8" w14:textId="77777777" w:rsidR="00152812" w:rsidRDefault="00152812" w:rsidP="00152812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24E74A9" w14:textId="77777777" w:rsidR="00152812" w:rsidRDefault="00152812" w:rsidP="00152812">
      <w:pPr>
        <w:ind w:firstLine="851"/>
        <w:jc w:val="both"/>
        <w:rPr>
          <w:sz w:val="24"/>
          <w:szCs w:val="24"/>
          <w:lang w:val="lt-LT"/>
        </w:rPr>
      </w:pPr>
    </w:p>
    <w:p w14:paraId="624E74AA" w14:textId="77777777" w:rsidR="00AD3D95" w:rsidRDefault="00AD3D95" w:rsidP="00152812">
      <w:pPr>
        <w:ind w:firstLine="851"/>
        <w:jc w:val="both"/>
        <w:rPr>
          <w:sz w:val="24"/>
          <w:szCs w:val="24"/>
          <w:lang w:val="lt-LT"/>
        </w:rPr>
      </w:pPr>
    </w:p>
    <w:p w14:paraId="624E74AB" w14:textId="77777777" w:rsidR="00AD3D95" w:rsidRPr="006E3D5D" w:rsidRDefault="00AD3D95" w:rsidP="00152812">
      <w:pPr>
        <w:ind w:firstLine="851"/>
        <w:jc w:val="both"/>
        <w:rPr>
          <w:sz w:val="24"/>
          <w:szCs w:val="24"/>
          <w:lang w:val="lt-LT"/>
        </w:rPr>
      </w:pPr>
    </w:p>
    <w:p w14:paraId="624E74AC" w14:textId="77777777" w:rsidR="00152812" w:rsidRDefault="00152812" w:rsidP="00152812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624E74AD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AE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AF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B0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B1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B2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B3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B4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B5" w14:textId="77777777" w:rsidR="001059F4" w:rsidRDefault="001059F4" w:rsidP="00CA536C">
      <w:pPr>
        <w:ind w:right="197"/>
        <w:rPr>
          <w:sz w:val="24"/>
          <w:szCs w:val="24"/>
        </w:rPr>
      </w:pPr>
    </w:p>
    <w:p w14:paraId="624E74B6" w14:textId="77777777" w:rsidR="001059F4" w:rsidRDefault="001059F4" w:rsidP="00CA536C">
      <w:pPr>
        <w:ind w:right="197"/>
        <w:rPr>
          <w:sz w:val="24"/>
          <w:szCs w:val="24"/>
        </w:rPr>
      </w:pPr>
    </w:p>
    <w:sectPr w:rsidR="001059F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74B9" w14:textId="77777777" w:rsidR="008D1794" w:rsidRDefault="008D1794">
      <w:r>
        <w:separator/>
      </w:r>
    </w:p>
  </w:endnote>
  <w:endnote w:type="continuationSeparator" w:id="0">
    <w:p w14:paraId="624E74BA" w14:textId="77777777" w:rsidR="008D1794" w:rsidRDefault="008D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E74B7" w14:textId="77777777" w:rsidR="008D1794" w:rsidRDefault="008D1794">
      <w:r>
        <w:separator/>
      </w:r>
    </w:p>
  </w:footnote>
  <w:footnote w:type="continuationSeparator" w:id="0">
    <w:p w14:paraId="624E74B8" w14:textId="77777777" w:rsidR="008D1794" w:rsidRDefault="008D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74BB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24E74C4" wp14:editId="624E74C5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E74BC" w14:textId="77777777" w:rsidR="00EB1BFB" w:rsidRDefault="00EB1BFB" w:rsidP="00EB1BFB"/>
  <w:p w14:paraId="624E74BD" w14:textId="77777777" w:rsidR="00EB1BFB" w:rsidRPr="002A3B38" w:rsidRDefault="002A3B38" w:rsidP="002A3B38">
    <w:pPr>
      <w:tabs>
        <w:tab w:val="left" w:pos="6435"/>
      </w:tabs>
      <w:rPr>
        <w:b/>
        <w:i/>
      </w:rPr>
    </w:pPr>
    <w:r>
      <w:tab/>
    </w:r>
    <w:r w:rsidRPr="002A3B38">
      <w:rPr>
        <w:b/>
        <w:i/>
      </w:rPr>
      <w:t>PROJEKTAS</w:t>
    </w:r>
  </w:p>
  <w:p w14:paraId="624E74BE" w14:textId="77777777" w:rsidR="00EB1BFB" w:rsidRDefault="00EB1BFB" w:rsidP="00EB1BFB"/>
  <w:p w14:paraId="624E74B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24E74C0" w14:textId="77777777" w:rsidR="00EB1BFB" w:rsidRDefault="00EB1BFB" w:rsidP="00EB1BFB">
    <w:pPr>
      <w:rPr>
        <w:rFonts w:ascii="TimesLT" w:hAnsi="TimesLT"/>
        <w:b/>
        <w:sz w:val="24"/>
      </w:rPr>
    </w:pPr>
  </w:p>
  <w:p w14:paraId="624E74C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24E74C2" w14:textId="77777777" w:rsidR="00EB1BFB" w:rsidRDefault="00EB1BFB" w:rsidP="00EB1BFB">
    <w:pPr>
      <w:jc w:val="center"/>
      <w:rPr>
        <w:b/>
        <w:sz w:val="26"/>
      </w:rPr>
    </w:pPr>
  </w:p>
  <w:p w14:paraId="624E74C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759FE"/>
    <w:rsid w:val="000D2081"/>
    <w:rsid w:val="000D5DBA"/>
    <w:rsid w:val="000E562B"/>
    <w:rsid w:val="000F7671"/>
    <w:rsid w:val="001059F4"/>
    <w:rsid w:val="00113C20"/>
    <w:rsid w:val="00152812"/>
    <w:rsid w:val="00162603"/>
    <w:rsid w:val="00190E5A"/>
    <w:rsid w:val="001A0C48"/>
    <w:rsid w:val="001E755B"/>
    <w:rsid w:val="00204B18"/>
    <w:rsid w:val="00210480"/>
    <w:rsid w:val="0021066C"/>
    <w:rsid w:val="00267301"/>
    <w:rsid w:val="002A3B38"/>
    <w:rsid w:val="002A58D9"/>
    <w:rsid w:val="002B376F"/>
    <w:rsid w:val="003019DB"/>
    <w:rsid w:val="00323A6E"/>
    <w:rsid w:val="00323C44"/>
    <w:rsid w:val="00373AE1"/>
    <w:rsid w:val="00375475"/>
    <w:rsid w:val="003A2F5A"/>
    <w:rsid w:val="003B7D02"/>
    <w:rsid w:val="00400381"/>
    <w:rsid w:val="00423D99"/>
    <w:rsid w:val="00476F33"/>
    <w:rsid w:val="004855CF"/>
    <w:rsid w:val="00494A91"/>
    <w:rsid w:val="005004BC"/>
    <w:rsid w:val="00503710"/>
    <w:rsid w:val="00531AAB"/>
    <w:rsid w:val="00563045"/>
    <w:rsid w:val="005975BC"/>
    <w:rsid w:val="005E4261"/>
    <w:rsid w:val="005F457F"/>
    <w:rsid w:val="006148D7"/>
    <w:rsid w:val="00614F94"/>
    <w:rsid w:val="0062704C"/>
    <w:rsid w:val="006315F6"/>
    <w:rsid w:val="006460F1"/>
    <w:rsid w:val="00655A40"/>
    <w:rsid w:val="00670246"/>
    <w:rsid w:val="006A760B"/>
    <w:rsid w:val="006D5DB7"/>
    <w:rsid w:val="006F14A6"/>
    <w:rsid w:val="00807174"/>
    <w:rsid w:val="008262E8"/>
    <w:rsid w:val="008D1794"/>
    <w:rsid w:val="008D3C6D"/>
    <w:rsid w:val="008D7B53"/>
    <w:rsid w:val="008E2851"/>
    <w:rsid w:val="008F6439"/>
    <w:rsid w:val="00916303"/>
    <w:rsid w:val="00923AE6"/>
    <w:rsid w:val="009339A7"/>
    <w:rsid w:val="00967A56"/>
    <w:rsid w:val="009761C1"/>
    <w:rsid w:val="009816E8"/>
    <w:rsid w:val="009B7115"/>
    <w:rsid w:val="009C1F16"/>
    <w:rsid w:val="009E369A"/>
    <w:rsid w:val="00A80C2A"/>
    <w:rsid w:val="00AA1890"/>
    <w:rsid w:val="00AA7E19"/>
    <w:rsid w:val="00AD3D95"/>
    <w:rsid w:val="00B2249E"/>
    <w:rsid w:val="00B22F15"/>
    <w:rsid w:val="00B25253"/>
    <w:rsid w:val="00BA3C3D"/>
    <w:rsid w:val="00BF6EFE"/>
    <w:rsid w:val="00C478A8"/>
    <w:rsid w:val="00C72E9B"/>
    <w:rsid w:val="00CA536C"/>
    <w:rsid w:val="00CC063E"/>
    <w:rsid w:val="00CD0155"/>
    <w:rsid w:val="00D041E2"/>
    <w:rsid w:val="00D5167B"/>
    <w:rsid w:val="00D93787"/>
    <w:rsid w:val="00DB5281"/>
    <w:rsid w:val="00DE738F"/>
    <w:rsid w:val="00E242C1"/>
    <w:rsid w:val="00E44ABE"/>
    <w:rsid w:val="00E6084A"/>
    <w:rsid w:val="00E719E4"/>
    <w:rsid w:val="00E750C3"/>
    <w:rsid w:val="00E7749D"/>
    <w:rsid w:val="00E934A3"/>
    <w:rsid w:val="00EB1BFB"/>
    <w:rsid w:val="00EC31F7"/>
    <w:rsid w:val="00EF2C9B"/>
    <w:rsid w:val="00F13355"/>
    <w:rsid w:val="00F33721"/>
    <w:rsid w:val="00F47293"/>
    <w:rsid w:val="00F5130A"/>
    <w:rsid w:val="00FA5B50"/>
    <w:rsid w:val="00FB5AE7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E7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2A3B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A3B38"/>
    <w:rPr>
      <w:rFonts w:ascii="Tahoma" w:hAnsi="Tahoma" w:cs="Tahoma"/>
      <w:sz w:val="16"/>
      <w:szCs w:val="16"/>
      <w:lang w:val="en-AU"/>
    </w:rPr>
  </w:style>
  <w:style w:type="table" w:styleId="Lentelstinklelis">
    <w:name w:val="Table Grid"/>
    <w:basedOn w:val="prastojilentel"/>
    <w:uiPriority w:val="59"/>
    <w:rsid w:val="002A3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A3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B711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2812"/>
    <w:rPr>
      <w:lang w:val="en-AU"/>
    </w:rPr>
  </w:style>
  <w:style w:type="paragraph" w:customStyle="1" w:styleId="Default">
    <w:name w:val="Default"/>
    <w:rsid w:val="00531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2A3B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A3B38"/>
    <w:rPr>
      <w:rFonts w:ascii="Tahoma" w:hAnsi="Tahoma" w:cs="Tahoma"/>
      <w:sz w:val="16"/>
      <w:szCs w:val="16"/>
      <w:lang w:val="en-AU"/>
    </w:rPr>
  </w:style>
  <w:style w:type="table" w:styleId="Lentelstinklelis">
    <w:name w:val="Table Grid"/>
    <w:basedOn w:val="prastojilentel"/>
    <w:uiPriority w:val="59"/>
    <w:rsid w:val="002A3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A3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B711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2812"/>
    <w:rPr>
      <w:lang w:val="en-AU"/>
    </w:rPr>
  </w:style>
  <w:style w:type="paragraph" w:customStyle="1" w:styleId="Default">
    <w:name w:val="Default"/>
    <w:rsid w:val="00531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546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2016-07-12T06:32:00Z</cp:lastPrinted>
  <dcterms:created xsi:type="dcterms:W3CDTF">2016-10-14T07:23:00Z</dcterms:created>
  <dcterms:modified xsi:type="dcterms:W3CDTF">2016-10-14T07:23:00Z</dcterms:modified>
</cp:coreProperties>
</file>